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" w:after="58"/>
        <w:ind w:left="911" w:right="0" w:firstLine="0"/>
        <w:jc w:val="left"/>
        <w:rPr>
          <w:rFonts w:ascii="新細明體" w:eastAsia="新細明體" w:hint="eastAsia"/>
          <w:sz w:val="24"/>
        </w:rPr>
      </w:pPr>
      <w:r>
        <w:rPr/>
        <w:pict>
          <v:rect style="position:absolute;margin-left:536.700012pt;margin-top:794.25pt;width:42.05pt;height:21pt;mso-position-horizontal-relative:page;mso-position-vertical-relative:page;z-index:-15857152" id="docshape1" filled="true" fillcolor="#ffffff" stroked="false">
            <v:fill type="solid"/>
            <w10:wrap type="none"/>
          </v:rect>
        </w:pict>
      </w:r>
      <w:r>
        <w:rPr>
          <w:spacing w:val="-1"/>
          <w:sz w:val="32"/>
        </w:rPr>
        <w:t>社團法人臺灣點一盞燈社會關懷協會 </w:t>
      </w:r>
      <w:r>
        <w:rPr>
          <w:rFonts w:ascii="新細明體" w:eastAsia="新細明體" w:hint="eastAsia"/>
          <w:sz w:val="24"/>
        </w:rPr>
        <w:t>（</w:t>
      </w:r>
      <w:r>
        <w:rPr>
          <w:rFonts w:ascii="Times New Roman" w:eastAsia="Times New Roman"/>
          <w:sz w:val="24"/>
        </w:rPr>
        <w:t>Zoom</w:t>
      </w:r>
      <w:r>
        <w:rPr>
          <w:rFonts w:ascii="Times New Roman" w:eastAsia="Times New Roman"/>
          <w:spacing w:val="-7"/>
          <w:sz w:val="24"/>
        </w:rPr>
        <w:t> </w:t>
      </w:r>
      <w:r>
        <w:rPr>
          <w:sz w:val="24"/>
        </w:rPr>
        <w:t>線上直播公益課程</w:t>
      </w:r>
      <w:r>
        <w:rPr>
          <w:rFonts w:ascii="新細明體" w:eastAsia="新細明體" w:hint="eastAsia"/>
          <w:spacing w:val="-10"/>
          <w:sz w:val="24"/>
        </w:rPr>
        <w:t>）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"/>
        <w:gridCol w:w="547"/>
        <w:gridCol w:w="797"/>
        <w:gridCol w:w="7516"/>
        <w:gridCol w:w="592"/>
        <w:gridCol w:w="284"/>
        <w:gridCol w:w="544"/>
      </w:tblGrid>
      <w:tr>
        <w:trPr>
          <w:trHeight w:val="1065" w:hRule="atLeast"/>
        </w:trPr>
        <w:tc>
          <w:tcPr>
            <w:tcW w:w="298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>
            <w:pPr>
              <w:pStyle w:val="TableParagraph"/>
              <w:spacing w:before="229"/>
              <w:ind w:left="402"/>
              <w:rPr>
                <w:rFonts w:ascii="新細明體" w:eastAsia="新細明體" w:hint="eastAsia"/>
                <w:b/>
                <w:sz w:val="44"/>
              </w:rPr>
            </w:pPr>
            <w:r>
              <w:rPr>
                <w:rFonts w:ascii="新細明體" w:eastAsia="新細明體" w:hint="eastAsia"/>
                <w:b/>
                <w:color w:val="FFFFFF"/>
                <w:spacing w:val="-2"/>
                <w:sz w:val="44"/>
              </w:rPr>
              <w:t>【</w:t>
            </w:r>
            <w:r>
              <w:rPr>
                <w:color w:val="FFFFFF"/>
                <w:spacing w:val="-2"/>
                <w:sz w:val="44"/>
              </w:rPr>
              <w:t>突破人生困境心理學</w:t>
            </w:r>
            <w:r>
              <w:rPr>
                <w:rFonts w:ascii="新細明體" w:eastAsia="新細明體" w:hint="eastAsia"/>
                <w:color w:val="FFFFFF"/>
                <w:spacing w:val="-2"/>
                <w:sz w:val="36"/>
              </w:rPr>
              <w:t>〜</w:t>
            </w:r>
            <w:r>
              <w:rPr>
                <w:color w:val="FFFFFF"/>
                <w:spacing w:val="-2"/>
                <w:sz w:val="36"/>
              </w:rPr>
              <w:t>你值得更好的生活</w:t>
            </w:r>
            <w:r>
              <w:rPr>
                <w:rFonts w:ascii="新細明體" w:eastAsia="新細明體" w:hint="eastAsia"/>
                <w:b/>
                <w:color w:val="FFFFFF"/>
                <w:spacing w:val="-10"/>
                <w:sz w:val="44"/>
              </w:rPr>
              <w:t>】</w:t>
            </w:r>
          </w:p>
        </w:tc>
        <w:tc>
          <w:tcPr>
            <w:tcW w:w="284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4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70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5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新細明體"/>
                <w:sz w:val="29"/>
              </w:rPr>
            </w:pPr>
          </w:p>
          <w:p>
            <w:pPr>
              <w:pStyle w:val="TableParagraph"/>
              <w:spacing w:line="249" w:lineRule="auto"/>
              <w:ind w:left="837" w:right="3411"/>
              <w:rPr>
                <w:sz w:val="26"/>
              </w:rPr>
            </w:pPr>
            <w:r>
              <w:rPr>
                <w:spacing w:val="-2"/>
                <w:sz w:val="26"/>
              </w:rPr>
              <w:t>你是不是很努力往前進，卻一直停留在原地？你是不是很想成功很想幸福，卻事與願違？</w:t>
            </w:r>
          </w:p>
          <w:p>
            <w:pPr>
              <w:pStyle w:val="TableParagraph"/>
              <w:spacing w:line="249" w:lineRule="auto" w:before="2"/>
              <w:ind w:left="837" w:right="1332"/>
              <w:rPr>
                <w:sz w:val="26"/>
              </w:rPr>
            </w:pPr>
            <w:r>
              <w:rPr>
                <w:spacing w:val="-2"/>
                <w:sz w:val="26"/>
              </w:rPr>
              <w:t>你是不是在人際、伴侶、親子的關係有困擾，卻不知如何解決？你是不是常在符合別人的期待，無法真實做自己？</w:t>
            </w:r>
          </w:p>
          <w:p>
            <w:pPr>
              <w:pStyle w:val="TableParagraph"/>
              <w:spacing w:before="9"/>
              <w:rPr>
                <w:rFonts w:ascii="新細明體"/>
                <w:sz w:val="27"/>
              </w:rPr>
            </w:pPr>
          </w:p>
          <w:p>
            <w:pPr>
              <w:pStyle w:val="TableParagraph"/>
              <w:spacing w:line="249" w:lineRule="auto"/>
              <w:ind w:left="410" w:right="424" w:firstLine="51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我們從小學英文、數學、理化，可是我們卻從來沒有學過「人生」這堂課，包括如何瞭解自己、如何表達溝通、如何提昇自尊自信、如何與情緒相</w:t>
            </w:r>
            <w:r>
              <w:rPr>
                <w:spacing w:val="-5"/>
                <w:sz w:val="26"/>
              </w:rPr>
              <w:t>處、如何和人良性互動、如何解決衝突；於是造成人生種種的艱難與不順。</w:t>
            </w:r>
          </w:p>
          <w:p>
            <w:pPr>
              <w:pStyle w:val="TableParagraph"/>
              <w:spacing w:line="249" w:lineRule="auto" w:before="186"/>
              <w:ind w:left="453" w:right="419" w:firstLine="52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這十五堂生命必修的心理學課，將幫助你獲得極大的領悟與成長。從探討自己個性的盲點開始，到為自己的人生遭遇負起責任，不當受害者，找回力量創造你真正想要的幸福人生。</w:t>
            </w:r>
          </w:p>
          <w:p>
            <w:pPr>
              <w:pStyle w:val="TableParagraph"/>
              <w:spacing w:before="5"/>
              <w:rPr>
                <w:rFonts w:ascii="新細明體"/>
                <w:sz w:val="25"/>
              </w:rPr>
            </w:pPr>
          </w:p>
          <w:p>
            <w:pPr>
              <w:pStyle w:val="TableParagraph"/>
              <w:spacing w:line="325" w:lineRule="exact"/>
              <w:ind w:left="410"/>
              <w:rPr>
                <w:rFonts w:ascii="Times New Roman" w:eastAsia="Times New Roman"/>
                <w:sz w:val="24"/>
              </w:rPr>
            </w:pPr>
            <w:r>
              <w:rPr>
                <w:rFonts w:ascii="新細明體" w:eastAsia="新細明體" w:hint="eastAsia"/>
                <w:b/>
                <w:sz w:val="24"/>
              </w:rPr>
              <w:t>課程內容</w:t>
            </w:r>
            <w:r>
              <w:rPr>
                <w:rFonts w:ascii="新細明體" w:eastAsia="新細明體" w:hint="eastAsia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</w:rPr>
              <w:t>2023</w:t>
            </w:r>
            <w:r>
              <w:rPr>
                <w:rFonts w:ascii="Times New Roman" w:eastAsia="Times New Roman"/>
                <w:spacing w:val="-3"/>
                <w:sz w:val="24"/>
              </w:rPr>
              <w:t> </w:t>
            </w:r>
            <w:r>
              <w:rPr>
                <w:rFonts w:ascii="新細明體" w:eastAsia="新細明體" w:hint="eastAsia"/>
                <w:spacing w:val="-3"/>
                <w:sz w:val="24"/>
              </w:rPr>
              <w:t>年 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rFonts w:ascii="新細明體" w:eastAsia="新細明體" w:hint="eastAsia"/>
                <w:spacing w:val="-3"/>
                <w:sz w:val="24"/>
              </w:rPr>
              <w:t>月 </w:t>
            </w:r>
            <w:r>
              <w:rPr>
                <w:rFonts w:ascii="Times New Roman" w:eastAsia="Times New Roman"/>
                <w:sz w:val="24"/>
              </w:rPr>
              <w:t>12</w:t>
            </w:r>
            <w:r>
              <w:rPr>
                <w:rFonts w:ascii="Times New Roman" w:eastAsia="Times New Roman"/>
                <w:spacing w:val="-3"/>
                <w:sz w:val="24"/>
              </w:rPr>
              <w:t> </w:t>
            </w:r>
            <w:r>
              <w:rPr>
                <w:rFonts w:ascii="新細明體" w:eastAsia="新細明體" w:hint="eastAsia"/>
                <w:spacing w:val="5"/>
                <w:sz w:val="24"/>
              </w:rPr>
              <w:t>日開始，每週日下午 </w:t>
            </w:r>
            <w:r>
              <w:rPr>
                <w:rFonts w:ascii="Times New Roman" w:eastAsia="Times New Roman"/>
                <w:sz w:val="24"/>
              </w:rPr>
              <w:t>2:30~5:00</w:t>
            </w:r>
            <w:r>
              <w:rPr>
                <w:rFonts w:ascii="新細明體" w:eastAsia="新細明體" w:hint="eastAsia"/>
                <w:spacing w:val="-2"/>
                <w:sz w:val="24"/>
              </w:rPr>
              <w:t>，共 </w:t>
            </w:r>
            <w:r>
              <w:rPr>
                <w:rFonts w:ascii="Times New Roman" w:eastAsia="Times New Roman"/>
                <w:sz w:val="24"/>
              </w:rPr>
              <w:t>15</w:t>
            </w:r>
            <w:r>
              <w:rPr>
                <w:rFonts w:ascii="Times New Roman" w:eastAsia="Times New Roman"/>
                <w:spacing w:val="-3"/>
                <w:sz w:val="24"/>
              </w:rPr>
              <w:t> </w:t>
            </w:r>
            <w:r>
              <w:rPr>
                <w:rFonts w:ascii="新細明體" w:eastAsia="新細明體" w:hint="eastAsia"/>
                <w:sz w:val="24"/>
              </w:rPr>
              <w:t>堂課程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298" w:type="dxa"/>
            <w:vMerge w:val="restart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7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66" w:lineRule="exact"/>
              <w:ind w:right="143"/>
              <w:jc w:val="righ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日期</w:t>
            </w:r>
          </w:p>
        </w:tc>
        <w:tc>
          <w:tcPr>
            <w:tcW w:w="7516" w:type="dxa"/>
            <w:tcBorders>
              <w:top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366" w:lineRule="exact"/>
              <w:ind w:left="3502" w:right="3483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主題</w:t>
            </w: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6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11"/>
              <w:rPr>
                <w:rFonts w:ascii="新細明體"/>
                <w:sz w:val="18"/>
              </w:rPr>
            </w:pPr>
          </w:p>
          <w:p>
            <w:pPr>
              <w:pStyle w:val="TableParagraph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8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3/12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400" w:lineRule="atLeast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談自我覺察：了解自己才能掌握人生（佛洛伊德學派、溝通交流分析</w:t>
            </w:r>
            <w:r>
              <w:rPr>
                <w:spacing w:val="-4"/>
                <w:sz w:val="24"/>
              </w:rPr>
              <w:t>學派）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57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spacing w:before="4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3/19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4" w:lineRule="exact" w:before="75"/>
              <w:ind w:left="108"/>
              <w:rPr>
                <w:sz w:val="24"/>
              </w:rPr>
            </w:pPr>
            <w:r>
              <w:rPr>
                <w:spacing w:val="58"/>
                <w:sz w:val="24"/>
              </w:rPr>
              <w:t>談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> 型人格：自戀型人格、戲劇型人格、邊緣型人格、反社會人格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spacing w:before="13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3/26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4" w:lineRule="exact" w:before="79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家庭會傷人：五種內在小孩，五種父母類型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97" w:type="dxa"/>
          </w:tcPr>
          <w:p>
            <w:pPr>
              <w:pStyle w:val="TableParagraph"/>
              <w:spacing w:line="275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4/02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4" w:lineRule="exact" w:before="83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談自我價值：阿德勒心理學《自卑與超越》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2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4/09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4" w:lineRule="exact" w:before="79"/>
              <w:ind w:left="108"/>
              <w:rPr>
                <w:sz w:val="24"/>
              </w:rPr>
            </w:pPr>
            <w:r>
              <w:rPr>
                <w:sz w:val="24"/>
              </w:rPr>
              <w:t>談情緒：調整非理性思考歷程（認知行為療法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4/16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9" w:lineRule="exact" w:before="79"/>
              <w:ind w:left="108"/>
              <w:rPr>
                <w:sz w:val="24"/>
              </w:rPr>
            </w:pPr>
            <w:r>
              <w:rPr>
                <w:sz w:val="24"/>
              </w:rPr>
              <w:t>談溝通：溝通不好，關係一定不好（</w:t>
            </w:r>
            <w:r>
              <w:rPr>
                <w:rFonts w:ascii="Times New Roman" w:eastAsia="Times New Roman"/>
                <w:sz w:val="24"/>
              </w:rPr>
              <w:t>P</w:t>
            </w:r>
            <w:r>
              <w:rPr>
                <w:rFonts w:ascii="Times New Roman" w:eastAsia="Times New Roman"/>
                <w:spacing w:val="-1"/>
                <w:sz w:val="24"/>
              </w:rPr>
              <w:t>. </w:t>
            </w: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-1"/>
                <w:sz w:val="24"/>
              </w:rPr>
              <w:t>. </w:t>
            </w:r>
            <w:r>
              <w:rPr>
                <w:rFonts w:ascii="Times New Roman" w:eastAsia="Times New Roman"/>
                <w:sz w:val="24"/>
              </w:rPr>
              <w:t>T</w:t>
            </w:r>
            <w:r>
              <w:rPr>
                <w:rFonts w:ascii="Times New Roman" w:eastAsia="Times New Roman"/>
                <w:spacing w:val="27"/>
                <w:sz w:val="24"/>
              </w:rPr>
              <w:t>. </w:t>
            </w:r>
            <w:r>
              <w:rPr>
                <w:spacing w:val="-2"/>
                <w:sz w:val="24"/>
              </w:rPr>
              <w:t>與 </w:t>
            </w:r>
            <w:r>
              <w:rPr>
                <w:rFonts w:ascii="Times New Roman" w:eastAsia="Times New Roman"/>
                <w:sz w:val="24"/>
              </w:rPr>
              <w:t>NLP</w:t>
            </w:r>
            <w:r>
              <w:rPr>
                <w:rFonts w:ascii="Times New Roman" w:eastAsia="Times New Roman"/>
                <w:spacing w:val="58"/>
                <w:sz w:val="24"/>
              </w:rPr>
              <w:t> </w:t>
            </w:r>
            <w:r>
              <w:rPr>
                <w:sz w:val="24"/>
              </w:rPr>
              <w:t>理論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2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4/23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4" w:lineRule="exact" w:before="79"/>
              <w:ind w:left="108"/>
              <w:rPr>
                <w:sz w:val="24"/>
              </w:rPr>
            </w:pPr>
            <w:r>
              <w:rPr>
                <w:sz w:val="24"/>
              </w:rPr>
              <w:t>談溝通：成為表裡一致真誠的人（薩提爾家族治療理論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4/30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9" w:lineRule="exact" w:before="79"/>
              <w:ind w:left="108"/>
              <w:rPr>
                <w:sz w:val="24"/>
              </w:rPr>
            </w:pPr>
            <w:r>
              <w:rPr>
                <w:sz w:val="24"/>
              </w:rPr>
              <w:t>談愛情：愛情創傷來自童年創傷（談依附理論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2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5/07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4" w:lineRule="exact" w:before="79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談婚姻：有好的婚姻才有好的家庭氛圍，孩子才能不受傷的長大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5/14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4" w:lineRule="exact" w:before="79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談外遇：探討外遇類型與處置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5/21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9" w:lineRule="exact" w:before="79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談親子教養：陪行與引導，看見並回應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2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5/28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4" w:lineRule="exact" w:before="79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談焦慮和憂鬱：現代人的兩大心理疾病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6/04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9" w:lineRule="exact" w:before="79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談受害者情結：人這一生都糾結在受害、加害、拯救三角關係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6/11</w:t>
            </w:r>
          </w:p>
        </w:tc>
        <w:tc>
          <w:tcPr>
            <w:tcW w:w="751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94" w:lineRule="exact" w:before="79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談韌性：個性越有彈性，越能挺過生命挫折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29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  <w:tc>
          <w:tcPr>
            <w:tcW w:w="79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70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6/18</w:t>
            </w:r>
          </w:p>
        </w:tc>
        <w:tc>
          <w:tcPr>
            <w:tcW w:w="7516" w:type="dxa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302" w:lineRule="exact" w:before="79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談自愛：修補內心的洞，把自己愛回來</w:t>
            </w:r>
          </w:p>
        </w:tc>
        <w:tc>
          <w:tcPr>
            <w:tcW w:w="87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7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0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0"/>
              <w:ind w:left="126"/>
              <w:rPr>
                <w:rFonts w:ascii="微軟正黑體" w:eastAsia="微軟正黑體"/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團體帶領人楊依靜講師簡介</w:t>
            </w:r>
            <w:r>
              <w:rPr>
                <w:rFonts w:ascii="微軟正黑體" w:eastAsia="微軟正黑體"/>
                <w:spacing w:val="-10"/>
                <w:sz w:val="24"/>
              </w:rPr>
              <w:t>：</w:t>
            </w:r>
          </w:p>
          <w:p>
            <w:pPr>
              <w:pStyle w:val="TableParagraph"/>
              <w:spacing w:line="420" w:lineRule="atLeast" w:before="139"/>
              <w:ind w:left="438" w:right="-130" w:hanging="312"/>
              <w:rPr>
                <w:rFonts w:ascii="新細明體" w:eastAsia="新細明體" w:hint="eastAsia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1</w:t>
            </w:r>
            <w:r>
              <w:rPr>
                <w:rFonts w:ascii="新細明體" w:eastAsia="新細明體" w:hint="eastAsia"/>
                <w:spacing w:val="2"/>
                <w:sz w:val="24"/>
              </w:rPr>
              <w:t>. 夏威夷大學心理研究所，加州 </w:t>
            </w:r>
            <w:r>
              <w:rPr>
                <w:rFonts w:ascii="Times New Roman" w:eastAsia="Times New Roman"/>
                <w:sz w:val="24"/>
              </w:rPr>
              <w:t>Esalan</w:t>
            </w:r>
            <w:r>
              <w:rPr>
                <w:rFonts w:ascii="Times New Roman" w:eastAsia="Times New Roman"/>
                <w:spacing w:val="40"/>
                <w:sz w:val="24"/>
              </w:rPr>
              <w:t> </w:t>
            </w:r>
            <w:r>
              <w:rPr>
                <w:rFonts w:ascii="新細明體" w:eastAsia="新細明體" w:hint="eastAsia"/>
                <w:sz w:val="24"/>
              </w:rPr>
              <w:t>身心靈整合學院，曾接受完形心理治療、家</w:t>
            </w:r>
            <w:r>
              <w:rPr>
                <w:rFonts w:ascii="新細明體" w:eastAsia="新細明體" w:hint="eastAsia"/>
                <w:spacing w:val="-2"/>
                <w:sz w:val="24"/>
              </w:rPr>
              <w:t>療、父母效能訓練、舞蹈戲劇治療等專業訓練。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新細明體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新細明體"/>
                <w:sz w:val="34"/>
              </w:rPr>
            </w:pPr>
          </w:p>
          <w:p>
            <w:pPr>
              <w:pStyle w:val="TableParagraph"/>
              <w:ind w:left="115"/>
              <w:rPr>
                <w:rFonts w:ascii="新細明體" w:eastAsia="新細明體" w:hint="eastAsia"/>
                <w:sz w:val="24"/>
              </w:rPr>
            </w:pPr>
            <w:r>
              <w:rPr>
                <w:rFonts w:ascii="新細明體" w:eastAsia="新細明體" w:hint="eastAsia"/>
                <w:spacing w:val="-5"/>
                <w:sz w:val="24"/>
              </w:rPr>
              <w:t>族治</w:t>
            </w:r>
          </w:p>
        </w:tc>
        <w:tc>
          <w:tcPr>
            <w:tcW w:w="5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9750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19"/>
              <w:rPr>
                <w:rFonts w:ascii="新細明體" w:eastAsia="新細明體"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ascii="新細明體" w:eastAsia="新細明體" w:hint="eastAsia"/>
                <w:spacing w:val="-1"/>
                <w:sz w:val="24"/>
              </w:rPr>
              <w:t>. 創辦身心靈桃花源成長中心、點一盞燈社會關懷協會、阿含生命傳記劇場。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9"/>
              <w:ind w:left="141" w:right="-188"/>
              <w:rPr>
                <w:rFonts w:ascii="新細明體" w:eastAsia="新細明體" w:hint="eastAsia"/>
                <w:sz w:val="16"/>
              </w:rPr>
            </w:pPr>
            <w:r>
              <w:rPr>
                <w:rFonts w:ascii="新細明體" w:eastAsia="新細明體" w:hint="eastAsia"/>
                <w:spacing w:val="-6"/>
                <w:sz w:val="16"/>
              </w:rPr>
              <w:t>續背</w:t>
            </w:r>
          </w:p>
        </w:tc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right="16"/>
              <w:jc w:val="center"/>
              <w:rPr>
                <w:rFonts w:ascii="新細明體" w:eastAsia="新細明體" w:hint="eastAsia"/>
                <w:sz w:val="16"/>
              </w:rPr>
            </w:pPr>
            <w:r>
              <w:rPr>
                <w:rFonts w:ascii="新細明體" w:eastAsia="新細明體" w:hint="eastAsia"/>
                <w:w w:val="99"/>
                <w:sz w:val="16"/>
              </w:rPr>
              <w:t>頁</w:t>
            </w:r>
          </w:p>
        </w:tc>
      </w:tr>
      <w:tr>
        <w:trPr>
          <w:trHeight w:val="122" w:hRule="atLeast"/>
        </w:trPr>
        <w:tc>
          <w:tcPr>
            <w:tcW w:w="10034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4" w:type="dxa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rPr>
          <w:rFonts w:ascii="Times New Roman"/>
          <w:sz w:val="6"/>
        </w:rPr>
        <w:sectPr>
          <w:type w:val="continuous"/>
          <w:pgSz w:w="11910" w:h="16840"/>
          <w:pgMar w:top="180" w:bottom="280" w:left="880" w:right="220"/>
        </w:sectPr>
      </w:pPr>
    </w:p>
    <w:p>
      <w:pPr>
        <w:pStyle w:val="BodyText"/>
        <w:spacing w:line="391" w:lineRule="auto" w:before="29"/>
        <w:ind w:right="1108"/>
      </w:pPr>
      <w:r>
        <w:rPr>
          <w:rFonts w:ascii="標楷體" w:eastAsia="標楷體"/>
        </w:rPr>
        <w:t>3</w:t>
      </w:r>
      <w:r>
        <w:rPr>
          <w:spacing w:val="14"/>
        </w:rPr>
        <w:t>. 長期於各企業、學校、家扶中心、單親中心帶領成長團體， 共計二十年以上。</w:t>
      </w:r>
      <w:r>
        <w:rPr>
          <w:b/>
        </w:rPr>
        <w:t>上課方式：</w:t>
      </w:r>
      <w:r>
        <w:rPr>
          <w:rFonts w:ascii="Times New Roman" w:eastAsia="Times New Roman"/>
        </w:rPr>
        <w:t>Zoom </w:t>
      </w:r>
      <w:r>
        <w:rPr/>
        <w:t>線上授課</w:t>
      </w:r>
    </w:p>
    <w:p>
      <w:pPr>
        <w:pStyle w:val="BodyText"/>
        <w:spacing w:line="331" w:lineRule="exact"/>
      </w:pPr>
      <w:r>
        <w:rPr>
          <w:b/>
        </w:rPr>
        <w:t>課程費用</w:t>
      </w:r>
      <w:r>
        <w:rPr/>
        <w:t>：免費（</w:t>
      </w:r>
      <w:r>
        <w:rPr>
          <w:spacing w:val="-1"/>
        </w:rPr>
        <w:t>但需繳交保證金 </w:t>
      </w:r>
      <w:r>
        <w:rPr>
          <w:rFonts w:ascii="Times New Roman" w:eastAsia="Times New Roman"/>
        </w:rPr>
        <w:t>2000</w:t>
      </w:r>
      <w:r>
        <w:rPr>
          <w:rFonts w:ascii="Times New Roman" w:eastAsia="Times New Roman"/>
          <w:spacing w:val="-6"/>
        </w:rPr>
        <w:t> </w:t>
      </w:r>
      <w:r>
        <w:rPr/>
        <w:t>元，全勤者可全額退費</w:t>
      </w:r>
      <w:r>
        <w:rPr>
          <w:spacing w:val="-10"/>
        </w:rPr>
        <w:t>）</w:t>
      </w:r>
    </w:p>
    <w:p>
      <w:pPr>
        <w:pStyle w:val="BodyText"/>
        <w:spacing w:before="202"/>
      </w:pPr>
      <w:r>
        <w:rPr>
          <w:b/>
        </w:rPr>
        <w:t>報名對象</w:t>
      </w:r>
      <w:r>
        <w:rPr>
          <w:spacing w:val="-15"/>
        </w:rPr>
        <w:t>：一般社會大眾。</w:t>
      </w:r>
      <w:r>
        <w:rPr/>
        <w:t>（</w:t>
      </w:r>
      <w:r>
        <w:rPr>
          <w:spacing w:val="-2"/>
        </w:rPr>
        <w:t>本課程採 </w:t>
      </w:r>
      <w:r>
        <w:rPr>
          <w:rFonts w:ascii="Times New Roman" w:eastAsia="Times New Roman"/>
        </w:rPr>
        <w:t>Zoom</w:t>
      </w:r>
      <w:r>
        <w:rPr>
          <w:rFonts w:ascii="Times New Roman" w:eastAsia="Times New Roman"/>
          <w:spacing w:val="-6"/>
        </w:rPr>
        <w:t> </w:t>
      </w:r>
      <w:r>
        <w:rPr/>
        <w:t>線上教學，請確定可以使用再報名</w:t>
      </w:r>
      <w:r>
        <w:rPr>
          <w:spacing w:val="-10"/>
        </w:rPr>
        <w:t>）</w:t>
      </w:r>
    </w:p>
    <w:p>
      <w:pPr>
        <w:pStyle w:val="BodyText"/>
        <w:spacing w:before="12"/>
        <w:ind w:left="0"/>
        <w:rPr>
          <w:sz w:val="16"/>
        </w:rPr>
      </w:pPr>
    </w:p>
    <w:p>
      <w:pPr>
        <w:pStyle w:val="BodyText"/>
        <w:spacing w:line="288" w:lineRule="auto"/>
        <w:ind w:right="628"/>
      </w:pPr>
      <w:r>
        <w:rPr>
          <w:b/>
          <w:spacing w:val="-2"/>
        </w:rPr>
        <w:t>報名方式</w:t>
      </w:r>
      <w:r>
        <w:rPr>
          <w:spacing w:val="-2"/>
        </w:rPr>
        <w:t>：線上報名：</w:t>
      </w:r>
      <w:hyperlink r:id="rId5">
        <w:r>
          <w:rPr>
            <w:rFonts w:ascii="Times New Roman" w:eastAsia="Times New Roman"/>
            <w:color w:val="0000FF"/>
            <w:spacing w:val="-2"/>
            <w:u w:val="single" w:color="0000FF"/>
          </w:rPr>
          <w:t>https://forms.gle/rqfzma4sxDh6F5M7A</w:t>
        </w:r>
      </w:hyperlink>
      <w:r>
        <w:rPr>
          <w:rFonts w:ascii="Times New Roman" w:eastAsia="Times New Roman"/>
          <w:color w:val="0000FF"/>
          <w:spacing w:val="40"/>
        </w:rPr>
        <w:t> </w:t>
      </w:r>
      <w:r>
        <w:rPr>
          <w:spacing w:val="-2"/>
        </w:rPr>
        <w:t>，</w:t>
      </w:r>
      <w:r>
        <w:rPr>
          <w:spacing w:val="-2"/>
          <w:u w:val="single"/>
        </w:rPr>
        <w:t>參加動機寫得越詳細，錄取機</w:t>
      </w:r>
      <w:r>
        <w:rPr>
          <w:spacing w:val="-4"/>
          <w:u w:val="single"/>
        </w:rPr>
        <w:t>會越高</w:t>
      </w:r>
      <w:r>
        <w:rPr>
          <w:spacing w:val="-4"/>
        </w:rPr>
        <w:t>。</w:t>
      </w:r>
    </w:p>
    <w:p>
      <w:pPr>
        <w:pStyle w:val="BodyText"/>
        <w:spacing w:line="332" w:lineRule="exact"/>
      </w:pPr>
      <w:r>
        <w:rPr>
          <w:u w:val="single"/>
        </w:rPr>
        <w:t>報名後需等回覆錄取並繳完保證金，才算完成報名手續</w:t>
      </w:r>
      <w:r>
        <w:rPr>
          <w:spacing w:val="-10"/>
        </w:rPr>
        <w:t>。</w:t>
      </w:r>
    </w:p>
    <w:p>
      <w:pPr>
        <w:pStyle w:val="BodyText"/>
        <w:spacing w:before="13"/>
        <w:ind w:left="0"/>
        <w:rPr>
          <w:sz w:val="11"/>
        </w:rPr>
      </w:pPr>
    </w:p>
    <w:p>
      <w:pPr>
        <w:spacing w:before="74"/>
        <w:ind w:left="536" w:right="0" w:firstLine="0"/>
        <w:jc w:val="left"/>
        <w:rPr>
          <w:rFonts w:ascii="新細明體" w:eastAsia="新細明體" w:hint="eastAsia"/>
          <w:sz w:val="24"/>
        </w:rPr>
      </w:pPr>
      <w:r>
        <w:rPr>
          <w:rFonts w:ascii="新細明體" w:eastAsia="新細明體" w:hint="eastAsia"/>
          <w:b/>
          <w:sz w:val="24"/>
        </w:rPr>
        <w:t>錄取人數</w:t>
      </w:r>
      <w:r>
        <w:rPr>
          <w:rFonts w:ascii="新細明體" w:eastAsia="新細明體" w:hint="eastAsia"/>
          <w:spacing w:val="-3"/>
          <w:sz w:val="24"/>
        </w:rPr>
        <w:t>：限 </w:t>
      </w:r>
      <w:r>
        <w:rPr>
          <w:rFonts w:ascii="Times New Roman" w:eastAsia="Times New Roman"/>
          <w:sz w:val="24"/>
        </w:rPr>
        <w:t>80</w:t>
      </w:r>
      <w:r>
        <w:rPr>
          <w:rFonts w:ascii="Times New Roman" w:eastAsia="Times New Roman"/>
          <w:spacing w:val="-5"/>
          <w:sz w:val="24"/>
        </w:rPr>
        <w:t> </w:t>
      </w:r>
      <w:r>
        <w:rPr>
          <w:rFonts w:ascii="新細明體" w:eastAsia="新細明體" w:hint="eastAsia"/>
          <w:spacing w:val="-10"/>
          <w:sz w:val="24"/>
        </w:rPr>
        <w:t>位</w:t>
      </w:r>
    </w:p>
    <w:p>
      <w:pPr>
        <w:pStyle w:val="BodyText"/>
        <w:spacing w:before="149"/>
      </w:pPr>
      <w:r>
        <w:rPr>
          <w:b/>
          <w:spacing w:val="-2"/>
        </w:rPr>
        <w:t>聯絡電話：</w:t>
      </w:r>
      <w:r>
        <w:rPr>
          <w:rFonts w:ascii="Times New Roman" w:eastAsia="Times New Roman"/>
          <w:spacing w:val="-2"/>
        </w:rPr>
        <w:t>0936-857-027,</w:t>
      </w:r>
      <w:r>
        <w:rPr>
          <w:rFonts w:ascii="Times New Roman" w:eastAsia="Times New Roman"/>
          <w:spacing w:val="41"/>
        </w:rPr>
        <w:t> </w:t>
      </w:r>
      <w:r>
        <w:rPr>
          <w:rFonts w:ascii="Times New Roman" w:eastAsia="Times New Roman"/>
          <w:spacing w:val="-2"/>
        </w:rPr>
        <w:t>0926-322-943</w:t>
      </w:r>
      <w:r>
        <w:rPr>
          <w:spacing w:val="-10"/>
        </w:rPr>
        <w:t>。</w:t>
      </w:r>
    </w:p>
    <w:p>
      <w:pPr>
        <w:pStyle w:val="BodyText"/>
        <w:spacing w:before="126"/>
        <w:rPr>
          <w:rFonts w:ascii="Times New Roman" w:eastAsia="Times New Roman"/>
        </w:rPr>
      </w:pPr>
      <w:r>
        <w:rPr>
          <w:b/>
          <w:spacing w:val="-2"/>
        </w:rPr>
        <w:t>聯絡信箱</w:t>
      </w:r>
      <w:r>
        <w:rPr>
          <w:spacing w:val="-2"/>
        </w:rPr>
        <w:t>：</w:t>
      </w:r>
      <w:hyperlink r:id="rId6">
        <w:r>
          <w:rPr>
            <w:rFonts w:ascii="Times New Roman" w:eastAsia="Times New Roman"/>
            <w:spacing w:val="-2"/>
          </w:rPr>
          <w:t>lightup9595@gmail.com</w:t>
        </w:r>
      </w:hyperlink>
    </w:p>
    <w:p>
      <w:pPr>
        <w:spacing w:before="125"/>
        <w:ind w:left="536" w:right="0" w:firstLine="0"/>
        <w:jc w:val="left"/>
        <w:rPr>
          <w:rFonts w:ascii="新細明體" w:eastAsia="新細明體" w:hint="eastAsia"/>
          <w:sz w:val="24"/>
        </w:rPr>
      </w:pPr>
      <w:r>
        <w:rPr>
          <w:rFonts w:ascii="新細明體" w:eastAsia="新細明體" w:hint="eastAsia"/>
          <w:b/>
          <w:spacing w:val="-2"/>
          <w:sz w:val="24"/>
        </w:rPr>
        <w:t>主辦單位：</w:t>
      </w:r>
      <w:r>
        <w:rPr>
          <w:rFonts w:ascii="新細明體" w:eastAsia="新細明體" w:hint="eastAsia"/>
          <w:spacing w:val="-3"/>
          <w:sz w:val="24"/>
        </w:rPr>
        <w:t>社團法人臺灣點一盞燈社會關懷協會</w:t>
      </w:r>
    </w:p>
    <w:sectPr>
      <w:pgSz w:w="11910" w:h="16840"/>
      <w:pgMar w:top="620" w:bottom="280" w:left="8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  <w:font w:name="微軟正黑體">
    <w:altName w:val="微軟正黑體"/>
    <w:charset w:val="8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536"/>
    </w:pPr>
    <w:rPr>
      <w:rFonts w:ascii="新細明體" w:hAnsi="新細明體" w:eastAsia="新細明體" w:cs="新細明體"/>
      <w:sz w:val="24"/>
      <w:szCs w:val="24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forms.gle/rqfzma4sxDh6F5M7A" TargetMode="External"/><Relationship Id="rId6" Type="http://schemas.openxmlformats.org/officeDocument/2006/relationships/hyperlink" Target="mailto:lightup9595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</dc:creator>
  <dc:title>「整合性藝術治療」</dc:title>
  <dcterms:created xsi:type="dcterms:W3CDTF">2023-01-31T02:33:17Z</dcterms:created>
  <dcterms:modified xsi:type="dcterms:W3CDTF">2023-01-31T02:33:17Z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2023-01-31T00:00:00Z</vt:filetime>
  </property>
  <property fmtid="{D5CDD505-2E9C-101B-9397-08002B2CF9AE}" pid="5" name="Producer">
    <vt:lpwstr>適用於 Microsoft 365 的 Microsoft® Word</vt:lpwstr>
  </property>
</Properties>
</file>